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A7" w:rsidRPr="00017C00" w:rsidRDefault="00E121A7" w:rsidP="00E121A7">
      <w:pPr>
        <w:spacing w:after="20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017C0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ru-RU"/>
        </w:rPr>
        <w:t>МЕТОДОЛОГИЧЕСКИЙ КОММЕНТАРИЙ</w:t>
      </w:r>
    </w:p>
    <w:p w:rsidR="00607354" w:rsidRPr="00017C00" w:rsidRDefault="00607354" w:rsidP="009905E3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b/>
          <w:sz w:val="20"/>
          <w:szCs w:val="20"/>
        </w:rPr>
        <w:t>Выборочное обследование бюджетов домашних хозяйств</w:t>
      </w:r>
      <w:r w:rsidRPr="00017C00">
        <w:rPr>
          <w:rFonts w:ascii="Arial" w:hAnsi="Arial" w:cs="Arial"/>
          <w:sz w:val="20"/>
          <w:szCs w:val="20"/>
        </w:rPr>
        <w:t xml:space="preserve"> является методом государственного статистического наблюдения за уровнем жизни населения</w:t>
      </w:r>
      <w:r w:rsidRPr="00017C00">
        <w:rPr>
          <w:rFonts w:ascii="Arial" w:hAnsi="Arial" w:cs="Arial"/>
          <w:spacing w:val="-4"/>
          <w:sz w:val="20"/>
          <w:szCs w:val="20"/>
        </w:rPr>
        <w:t>.</w:t>
      </w:r>
    </w:p>
    <w:p w:rsidR="00380AF8" w:rsidRPr="00017C00" w:rsidRDefault="00380AF8" w:rsidP="009905E3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proofErr w:type="gramStart"/>
      <w:r w:rsidRPr="00017C00">
        <w:rPr>
          <w:rFonts w:ascii="Arial" w:hAnsi="Arial" w:cs="Arial"/>
          <w:b/>
          <w:iCs/>
        </w:rPr>
        <w:t>Домашнее хозяйство</w:t>
      </w:r>
      <w:r w:rsidRPr="00017C00">
        <w:rPr>
          <w:rFonts w:ascii="Arial" w:hAnsi="Arial" w:cs="Arial"/>
        </w:rPr>
        <w:t xml:space="preserve"> представляет собой совокупность лиц, проживающих в одном жилом помещении или его части, как связанных, так и не связанных родством, совместно обеспечивающих себя всем необходимым для жизни, полностью или частично объединяя и расходуя свои средства.</w:t>
      </w:r>
      <w:proofErr w:type="gramEnd"/>
      <w:r w:rsidRPr="00017C00">
        <w:rPr>
          <w:rFonts w:ascii="Arial" w:hAnsi="Arial" w:cs="Arial"/>
        </w:rPr>
        <w:t xml:space="preserve"> Домохозяйство может состоять из одного человека, живущего самостоятельно.</w:t>
      </w:r>
    </w:p>
    <w:p w:rsidR="00380AF8" w:rsidRPr="00017C00" w:rsidRDefault="00380AF8" w:rsidP="009905E3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sz w:val="20"/>
          <w:szCs w:val="20"/>
        </w:rPr>
        <w:t xml:space="preserve">Показатели расходов и доходов домашних хозяйств формируются в соответствии с «Методологическими положениями по формированию агрегированных показателей доходов, расходов и потребления домашних хозяйств на основе программы Выборочного обследования бюджетов домашних хозяйств», утвержденными приказом Росстата от 5 апреля 2017 г. № 226. </w:t>
      </w:r>
    </w:p>
    <w:p w:rsidR="00380AF8" w:rsidRPr="00017C00" w:rsidRDefault="00380AF8" w:rsidP="009905E3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017C00">
        <w:rPr>
          <w:rFonts w:ascii="Arial" w:hAnsi="Arial" w:cs="Arial"/>
          <w:b/>
          <w:sz w:val="20"/>
          <w:szCs w:val="20"/>
        </w:rPr>
        <w:t>Расходы на потребление домашних хозяйств</w:t>
      </w:r>
      <w:r w:rsidRPr="00017C00">
        <w:rPr>
          <w:rFonts w:ascii="Arial" w:hAnsi="Arial" w:cs="Arial"/>
          <w:sz w:val="20"/>
          <w:szCs w:val="20"/>
        </w:rPr>
        <w:t xml:space="preserve"> представляют собой стоимость товаров и услуг, приобретенных домохозяйствами в целях непосредственного удовлетворения потребностей и желаний своих членов посредством прямых денежных покупок и натуральных поступлений, включая поступления без применения каких-либо денежных средств в качестве оплаты (бартерный обмен, натуральные поступления от других домохозяйств и от работодателя) и использование на личное потребление продукции собственного производства. </w:t>
      </w:r>
      <w:proofErr w:type="gramEnd"/>
    </w:p>
    <w:p w:rsidR="00380AF8" w:rsidRPr="00017C00" w:rsidRDefault="00380AF8" w:rsidP="009905E3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sz w:val="20"/>
          <w:szCs w:val="20"/>
        </w:rPr>
        <w:t>Расходы на потребление домашних хозяйств состоят из суммы потребительских расходов и оценки в денежном эквиваленте стоимости натуральных поступлений. В расходы на потребление не включается стоимость купленных в период обследования, но не пошедших на личное потребление товаров, и стоимость произведенной в период обследования, но не использованной на личное потребление сельскохозяйственной продукции собственного производства.</w:t>
      </w:r>
    </w:p>
    <w:p w:rsidR="00380AF8" w:rsidRPr="00017C00" w:rsidRDefault="00380AF8" w:rsidP="009905E3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b/>
          <w:sz w:val="20"/>
          <w:szCs w:val="20"/>
        </w:rPr>
        <w:t>Потребительские расходы домашних хозяйств</w:t>
      </w:r>
      <w:r w:rsidRPr="00017C00">
        <w:rPr>
          <w:rFonts w:ascii="Arial" w:hAnsi="Arial" w:cs="Arial"/>
          <w:sz w:val="20"/>
          <w:szCs w:val="20"/>
        </w:rPr>
        <w:t xml:space="preserve"> являются частью денежных расходов домашних хозяйств, направленных на приобретение потребительских товаров и оплату услуг для удовлетворения потребностей домохозяйства и членов домохозяйства. В составе потребительских расходов не учитываются расходы на покупку произведений искусства, антиквариата и ювелирных изделий, приобретенных в качестве капиталовложений, а также расходы на оплату материалов и работ по строительству и капитальному ремонту жилых или подсобных помещений, являющихся инвестициями.</w:t>
      </w:r>
    </w:p>
    <w:p w:rsidR="00380AF8" w:rsidRPr="00017C00" w:rsidRDefault="00380AF8" w:rsidP="009905E3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b/>
          <w:sz w:val="20"/>
          <w:szCs w:val="20"/>
        </w:rPr>
        <w:t>Располагаемые ресурсы домашних хозяйств</w:t>
      </w:r>
      <w:r w:rsidRPr="00017C00">
        <w:rPr>
          <w:rFonts w:ascii="Arial" w:hAnsi="Arial" w:cs="Arial"/>
          <w:sz w:val="20"/>
          <w:szCs w:val="20"/>
        </w:rPr>
        <w:t xml:space="preserve"> 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 основе программы ОБДХ, трактуется как объем всех денежных и натуральных (в денежном эквиваленте) средств, которыми располагали домашние хозяйства для финансирования своих расходов и создания сбережений.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4D1D33" w:rsidRPr="00017C00" w:rsidTr="004D1D33">
        <w:tc>
          <w:tcPr>
            <w:tcW w:w="9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33" w:rsidRPr="00017C00" w:rsidRDefault="004D1D33" w:rsidP="009905E3">
            <w:pPr>
              <w:spacing w:line="319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7C00">
              <w:rPr>
                <w:rFonts w:ascii="Arial" w:hAnsi="Arial" w:cs="Arial"/>
                <w:b/>
                <w:bCs/>
                <w:sz w:val="20"/>
                <w:szCs w:val="20"/>
              </w:rPr>
              <w:t>Данные о денежных доходах и расходах населения</w:t>
            </w:r>
            <w:r w:rsidRPr="00017C00">
              <w:rPr>
                <w:rFonts w:ascii="Arial" w:hAnsi="Arial" w:cs="Arial"/>
                <w:sz w:val="20"/>
                <w:szCs w:val="20"/>
              </w:rPr>
              <w:t> 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хозяйствующих субъектов, органов государственного управления и финансовых учреждений, а также с использованием системы дооценок объемов доходов и расходов населения в неформальном секторе экономики.</w:t>
            </w:r>
            <w:proofErr w:type="gramEnd"/>
            <w:r w:rsidRPr="00017C00">
              <w:rPr>
                <w:rFonts w:ascii="Arial" w:hAnsi="Arial" w:cs="Arial"/>
                <w:sz w:val="20"/>
                <w:szCs w:val="20"/>
              </w:rPr>
              <w:t xml:space="preserve"> При отсутствии ряда показателей в необходимые сроки (это касается в основном банковских данных) производится их оценка.</w:t>
            </w:r>
          </w:p>
        </w:tc>
      </w:tr>
      <w:tr w:rsidR="004D1D33" w:rsidRPr="00017C00" w:rsidTr="004D1D33">
        <w:tc>
          <w:tcPr>
            <w:tcW w:w="9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33" w:rsidRPr="00017C00" w:rsidRDefault="004D1D33" w:rsidP="009905E3">
            <w:pPr>
              <w:spacing w:line="319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7C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Денежные доходы населения</w:t>
            </w:r>
            <w:r w:rsidRPr="00017C00">
              <w:rPr>
                <w:rFonts w:ascii="Arial" w:hAnsi="Arial" w:cs="Arial"/>
                <w:sz w:val="20"/>
                <w:szCs w:val="20"/>
              </w:rPr>
              <w:t> включают оплату труда наемных работников; доходы от предпринимательской деятельности и другой производственной деятельности; социальные выплаты (пенсии, пособия, стипендии и другие выплаты); доходы от собственности (дивиденды, проценты, начисленные по денежным средствам на банковских счетах физических лиц в кредитных организациях; выплата доходов по государственным и другим ценным бумагам; инвестиционный доход (доход от собственности держателей полисов);</w:t>
            </w:r>
            <w:proofErr w:type="gramEnd"/>
            <w:r w:rsidRPr="00017C00">
              <w:rPr>
                <w:rFonts w:ascii="Arial" w:hAnsi="Arial" w:cs="Arial"/>
                <w:sz w:val="20"/>
                <w:szCs w:val="20"/>
              </w:rPr>
              <w:t xml:space="preserve"> прочие денежные поступления.</w:t>
            </w:r>
          </w:p>
        </w:tc>
      </w:tr>
      <w:tr w:rsidR="004D1D33" w:rsidRPr="00017C00" w:rsidTr="004D1D33">
        <w:tc>
          <w:tcPr>
            <w:tcW w:w="9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33" w:rsidRPr="00017C00" w:rsidRDefault="004D1D33" w:rsidP="009905E3">
            <w:pPr>
              <w:spacing w:line="319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C00">
              <w:rPr>
                <w:rFonts w:ascii="Arial" w:hAnsi="Arial" w:cs="Arial"/>
                <w:b/>
                <w:bCs/>
                <w:sz w:val="20"/>
                <w:szCs w:val="20"/>
              </w:rPr>
              <w:t>Денежные расходы населения </w:t>
            </w:r>
            <w:r w:rsidRPr="00017C00">
              <w:rPr>
                <w:rFonts w:ascii="Arial" w:hAnsi="Arial" w:cs="Arial"/>
                <w:sz w:val="20"/>
                <w:szCs w:val="20"/>
              </w:rPr>
              <w:t>– включают расходы на покупку товаров и оплату услуг, платежи за товары (работы, услуги) зарубежным поставщикам за безналичный и наличный расчет, включая сальдо трансграничной Интернет-торговли; расходы на оплату обязательных платежей и разнообразных взносов; прочие расходы населения.</w:t>
            </w:r>
          </w:p>
        </w:tc>
      </w:tr>
      <w:tr w:rsidR="004D1D33" w:rsidRPr="00017C00" w:rsidTr="004D1D33">
        <w:tc>
          <w:tcPr>
            <w:tcW w:w="9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33" w:rsidRPr="00017C00" w:rsidRDefault="004D1D33" w:rsidP="009905E3">
            <w:pPr>
              <w:spacing w:line="319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7C00">
              <w:rPr>
                <w:rFonts w:ascii="Arial" w:hAnsi="Arial" w:cs="Arial"/>
                <w:b/>
                <w:bCs/>
                <w:sz w:val="20"/>
                <w:szCs w:val="20"/>
              </w:rPr>
              <w:t>К сбережениям населения</w:t>
            </w:r>
            <w:r w:rsidRPr="00017C00">
              <w:rPr>
                <w:rFonts w:ascii="Arial" w:hAnsi="Arial" w:cs="Arial"/>
                <w:sz w:val="20"/>
                <w:szCs w:val="20"/>
              </w:rPr>
              <w:t> относятся: прирост (уменьшение)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контрагентов; прирост (уменьшение) сбережений в ценных бумагах (включая векселя и долговые ценные бумаги); расходы на покупку недвижимости (включая сальдо операций с инструментами участия в капитале и недвижимостью за рубежом);</w:t>
            </w:r>
            <w:proofErr w:type="gramEnd"/>
            <w:r w:rsidRPr="00017C00">
              <w:rPr>
                <w:rFonts w:ascii="Arial" w:hAnsi="Arial" w:cs="Arial"/>
                <w:sz w:val="20"/>
                <w:szCs w:val="20"/>
              </w:rPr>
              <w:t xml:space="preserve"> прирост (уменьшение) наличных денег на руках у населения в рублях и в иностранной валюте в рублевом эквиваленте;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 реализации финансовых активов (средств от продажи и погашения инвестиционных паев, от реализации долей участия в уставном капитале организаций и др.).</w:t>
            </w:r>
          </w:p>
        </w:tc>
      </w:tr>
    </w:tbl>
    <w:p w:rsidR="007A20AF" w:rsidRPr="00017C00" w:rsidRDefault="007A20AF" w:rsidP="009905E3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sz w:val="20"/>
          <w:szCs w:val="20"/>
        </w:rPr>
        <w:t xml:space="preserve">К </w:t>
      </w:r>
      <w:r w:rsidRPr="00017C00">
        <w:rPr>
          <w:rFonts w:ascii="Arial" w:hAnsi="Arial" w:cs="Arial"/>
          <w:b/>
          <w:sz w:val="20"/>
          <w:szCs w:val="20"/>
        </w:rPr>
        <w:t>пенсионерам</w:t>
      </w:r>
      <w:r w:rsidRPr="00017C00">
        <w:rPr>
          <w:rFonts w:ascii="Arial" w:hAnsi="Arial" w:cs="Arial"/>
          <w:sz w:val="20"/>
          <w:szCs w:val="20"/>
        </w:rPr>
        <w:t xml:space="preserve"> относятся лица, реализовавшие право на получение пенсии в соответствии с законодательством Российской Федерации и межгосударственными соглашениями, постоянно проживающие в Российской Федерации.</w:t>
      </w:r>
    </w:p>
    <w:p w:rsidR="007A20AF" w:rsidRPr="00017C00" w:rsidRDefault="007A20AF" w:rsidP="009905E3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b/>
          <w:sz w:val="20"/>
          <w:szCs w:val="20"/>
        </w:rPr>
        <w:t>Средний размер назначенных пенсий</w:t>
      </w:r>
      <w:r w:rsidRPr="00017C00">
        <w:rPr>
          <w:rFonts w:ascii="Arial" w:hAnsi="Arial" w:cs="Arial"/>
          <w:sz w:val="20"/>
          <w:szCs w:val="20"/>
        </w:rPr>
        <w:t xml:space="preserve"> определяется делением общей суммы назначенных пенсий на численность пенсионеров (по данным Пенсионного фонда Российской Федерации). </w:t>
      </w:r>
    </w:p>
    <w:p w:rsidR="007A20AF" w:rsidRPr="00017C00" w:rsidRDefault="007A20AF" w:rsidP="009905E3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b/>
          <w:sz w:val="20"/>
          <w:szCs w:val="20"/>
        </w:rPr>
        <w:t>Реальный размер назначенных пенсий</w:t>
      </w:r>
      <w:r w:rsidRPr="00017C00">
        <w:rPr>
          <w:rFonts w:ascii="Arial" w:hAnsi="Arial" w:cs="Arial"/>
          <w:sz w:val="20"/>
          <w:szCs w:val="20"/>
        </w:rPr>
        <w:t xml:space="preserve"> рассчитывается путем корректировки среднего размера назначенных пенсий на индекс потребительских цен за соответствующий временной период.</w:t>
      </w:r>
    </w:p>
    <w:p w:rsidR="007A20AF" w:rsidRPr="00017C00" w:rsidRDefault="007A20AF" w:rsidP="009905E3">
      <w:pPr>
        <w:pStyle w:val="a7"/>
        <w:spacing w:line="319" w:lineRule="auto"/>
        <w:ind w:firstLine="567"/>
        <w:rPr>
          <w:rFonts w:ascii="Arial" w:hAnsi="Arial" w:cs="Arial"/>
          <w:sz w:val="20"/>
        </w:rPr>
      </w:pPr>
      <w:r w:rsidRPr="00017C00">
        <w:rPr>
          <w:rFonts w:ascii="Arial" w:hAnsi="Arial" w:cs="Arial"/>
          <w:b/>
          <w:sz w:val="20"/>
        </w:rPr>
        <w:t>Распределение населения по величине среднедушевых денежных доходов</w:t>
      </w:r>
      <w:r w:rsidRPr="00017C00">
        <w:rPr>
          <w:rFonts w:ascii="Arial" w:hAnsi="Arial" w:cs="Arial"/>
          <w:sz w:val="20"/>
        </w:rPr>
        <w:t xml:space="preserve"> </w:t>
      </w:r>
      <w:proofErr w:type="gramStart"/>
      <w:r w:rsidRPr="00017C00">
        <w:rPr>
          <w:rFonts w:ascii="Arial" w:hAnsi="Arial" w:cs="Arial"/>
          <w:sz w:val="20"/>
        </w:rPr>
        <w:t>характеризует дифференциацию населения по уровню материального достатка и представляет</w:t>
      </w:r>
      <w:proofErr w:type="gramEnd"/>
      <w:r w:rsidRPr="00017C00">
        <w:rPr>
          <w:rFonts w:ascii="Arial" w:hAnsi="Arial" w:cs="Arial"/>
          <w:sz w:val="20"/>
        </w:rP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7A20AF" w:rsidRPr="00017C00" w:rsidRDefault="007A20AF" w:rsidP="009905E3">
      <w:pPr>
        <w:pStyle w:val="a7"/>
        <w:spacing w:line="319" w:lineRule="auto"/>
        <w:ind w:firstLine="567"/>
        <w:rPr>
          <w:rFonts w:ascii="Arial" w:hAnsi="Arial" w:cs="Arial"/>
          <w:sz w:val="20"/>
        </w:rPr>
      </w:pPr>
      <w:r w:rsidRPr="00017C00">
        <w:rPr>
          <w:rFonts w:ascii="Arial" w:hAnsi="Arial" w:cs="Arial"/>
          <w:b/>
          <w:sz w:val="20"/>
        </w:rPr>
        <w:t>Распределение общего объема денежных доходов</w:t>
      </w:r>
      <w:r w:rsidRPr="00017C00">
        <w:rPr>
          <w:rFonts w:ascii="Arial" w:hAnsi="Arial" w:cs="Arial"/>
          <w:sz w:val="20"/>
        </w:rPr>
        <w:t xml:space="preserve"> </w:t>
      </w:r>
      <w:r w:rsidRPr="00017C00">
        <w:rPr>
          <w:rFonts w:ascii="Arial" w:hAnsi="Arial" w:cs="Arial"/>
          <w:b/>
          <w:sz w:val="20"/>
        </w:rPr>
        <w:t>по различным группам населения</w:t>
      </w:r>
      <w:r w:rsidRPr="00017C00">
        <w:rPr>
          <w:rFonts w:ascii="Arial" w:hAnsi="Arial" w:cs="Arial"/>
          <w:sz w:val="20"/>
        </w:rPr>
        <w:t xml:space="preserve"> выражается через долю общего объема денежных доходов, </w:t>
      </w:r>
      <w:proofErr w:type="gramStart"/>
      <w:r w:rsidRPr="00017C00">
        <w:rPr>
          <w:rFonts w:ascii="Arial" w:hAnsi="Arial" w:cs="Arial"/>
          <w:sz w:val="20"/>
        </w:rPr>
        <w:t>которая</w:t>
      </w:r>
      <w:proofErr w:type="gramEnd"/>
      <w:r w:rsidRPr="00017C00">
        <w:rPr>
          <w:rFonts w:ascii="Arial" w:hAnsi="Arial" w:cs="Arial"/>
          <w:sz w:val="20"/>
        </w:rPr>
        <w:t xml:space="preserve"> приходится на каждую из 20-процентных групп населения, ранжированного по мере возрастания среднедушевых денежных доходов.</w:t>
      </w:r>
    </w:p>
    <w:p w:rsidR="007A20AF" w:rsidRPr="00017C00" w:rsidRDefault="007A20AF" w:rsidP="009905E3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17C00">
        <w:rPr>
          <w:rFonts w:ascii="Arial" w:hAnsi="Arial" w:cs="Arial"/>
          <w:b/>
          <w:sz w:val="20"/>
          <w:szCs w:val="20"/>
        </w:rPr>
        <w:t>Величина прожиточного минимума</w:t>
      </w:r>
      <w:r w:rsidRPr="00017C00">
        <w:rPr>
          <w:rFonts w:ascii="Arial" w:hAnsi="Arial" w:cs="Arial"/>
          <w:sz w:val="20"/>
          <w:szCs w:val="20"/>
        </w:rPr>
        <w:t xml:space="preserve"> в </w:t>
      </w:r>
      <w:proofErr w:type="gramStart"/>
      <w:r w:rsidRPr="00017C00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017C00">
        <w:rPr>
          <w:rFonts w:ascii="Arial" w:hAnsi="Arial" w:cs="Arial"/>
          <w:sz w:val="20"/>
          <w:szCs w:val="20"/>
        </w:rPr>
        <w:t xml:space="preserve"> с Федеральным законом от </w:t>
      </w:r>
      <w:r w:rsidRPr="00017C00">
        <w:rPr>
          <w:rFonts w:ascii="Arial" w:hAnsi="Arial" w:cs="Arial"/>
          <w:sz w:val="20"/>
          <w:szCs w:val="20"/>
        </w:rPr>
        <w:br/>
        <w:t>24 октября 1997 г. № 134-ФЗ “О прожиточном минимуме в Российской Федерации” представляет собой стоимостную оценку потребительской корзины, а также обязательные платежи и сборы. С 2021 года изменился порядок и периодичность установления величины прожиточного минимума (редакция  от 29.12.2020 №473-ФЗ).</w:t>
      </w:r>
    </w:p>
    <w:p w:rsidR="007A20AF" w:rsidRPr="00017C00" w:rsidRDefault="007A20AF" w:rsidP="009905E3">
      <w:pPr>
        <w:spacing w:line="319" w:lineRule="auto"/>
        <w:rPr>
          <w:rFonts w:ascii="Arial" w:hAnsi="Arial" w:cs="Arial"/>
          <w:sz w:val="20"/>
          <w:szCs w:val="20"/>
        </w:rPr>
      </w:pPr>
    </w:p>
    <w:p w:rsidR="00EC7F3D" w:rsidRPr="00017C00" w:rsidRDefault="00EC7F3D" w:rsidP="00EC7F3D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4A8E">
        <w:rPr>
          <w:rFonts w:ascii="Arial" w:hAnsi="Arial" w:cs="Arial"/>
          <w:b/>
          <w:sz w:val="20"/>
          <w:szCs w:val="20"/>
        </w:rPr>
        <w:lastRenderedPageBreak/>
        <w:t>Среднемесячная номинальная начисленная заработная плата работников</w:t>
      </w:r>
      <w:r w:rsidRPr="00017C00">
        <w:rPr>
          <w:rFonts w:ascii="Arial" w:hAnsi="Arial" w:cs="Arial"/>
          <w:sz w:val="20"/>
          <w:szCs w:val="20"/>
        </w:rPr>
        <w:t xml:space="preserve"> исчисляется на основании сведений, полученных от организаций, делением фонда начисленной заработной платы работников на среднесписочную численность работников и на количество месяцев в отчетном периоде. </w:t>
      </w:r>
      <w:proofErr w:type="gramStart"/>
      <w:r w:rsidRPr="00017C00">
        <w:rPr>
          <w:rFonts w:ascii="Arial" w:hAnsi="Arial" w:cs="Arial"/>
          <w:sz w:val="20"/>
          <w:szCs w:val="20"/>
        </w:rPr>
        <w:t xml:space="preserve">В фонд заработной платы включаются начисленные работникам суммы оплаты труда в денежной и неденежной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характер. </w:t>
      </w:r>
      <w:proofErr w:type="gramEnd"/>
    </w:p>
    <w:p w:rsidR="00EC7F3D" w:rsidRPr="00017C00" w:rsidRDefault="00EC7F3D" w:rsidP="00EC7F3D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4A8E">
        <w:rPr>
          <w:rFonts w:ascii="Arial" w:hAnsi="Arial" w:cs="Arial"/>
          <w:b/>
          <w:sz w:val="20"/>
          <w:szCs w:val="20"/>
        </w:rPr>
        <w:t>Реальная начисленная заработная плата</w:t>
      </w:r>
      <w:r w:rsidRPr="00017C00">
        <w:rPr>
          <w:rFonts w:ascii="Arial" w:hAnsi="Arial" w:cs="Arial"/>
          <w:sz w:val="20"/>
          <w:szCs w:val="20"/>
        </w:rPr>
        <w:t xml:space="preserve"> характеризует покупательную способность заработной платы в отчетном </w:t>
      </w:r>
      <w:proofErr w:type="gramStart"/>
      <w:r w:rsidRPr="00017C00">
        <w:rPr>
          <w:rFonts w:ascii="Arial" w:hAnsi="Arial" w:cs="Arial"/>
          <w:sz w:val="20"/>
          <w:szCs w:val="20"/>
        </w:rPr>
        <w:t>периоде</w:t>
      </w:r>
      <w:proofErr w:type="gramEnd"/>
      <w:r w:rsidRPr="00017C00">
        <w:rPr>
          <w:rFonts w:ascii="Arial" w:hAnsi="Arial" w:cs="Arial"/>
          <w:sz w:val="20"/>
          <w:szCs w:val="20"/>
        </w:rPr>
        <w:t xml:space="preserve"> в связи с изменением цен на потребительские товары и услуги по сравнению с базисным периодом.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период. </w:t>
      </w:r>
    </w:p>
    <w:sectPr w:rsidR="00EC7F3D" w:rsidRPr="00017C00" w:rsidSect="00FE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A7"/>
    <w:rsid w:val="00017C00"/>
    <w:rsid w:val="002C73A6"/>
    <w:rsid w:val="00380AF8"/>
    <w:rsid w:val="004D1D33"/>
    <w:rsid w:val="00504A8E"/>
    <w:rsid w:val="00607354"/>
    <w:rsid w:val="007A20AF"/>
    <w:rsid w:val="009905E3"/>
    <w:rsid w:val="00BC7F37"/>
    <w:rsid w:val="00E121A7"/>
    <w:rsid w:val="00EC7F3D"/>
    <w:rsid w:val="00EE3119"/>
    <w:rsid w:val="00FE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1"/>
  </w:style>
  <w:style w:type="paragraph" w:styleId="4">
    <w:name w:val="heading 4"/>
    <w:basedOn w:val="a"/>
    <w:next w:val="a"/>
    <w:link w:val="40"/>
    <w:semiHidden/>
    <w:unhideWhenUsed/>
    <w:qFormat/>
    <w:rsid w:val="007A20A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20AF"/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7A20AF"/>
    <w:rPr>
      <w:rFonts w:ascii="Arial" w:hAnsi="Arial" w:cs="Arial"/>
      <w:sz w:val="24"/>
    </w:rPr>
  </w:style>
  <w:style w:type="paragraph" w:styleId="a4">
    <w:name w:val="Normal (Web)"/>
    <w:basedOn w:val="a"/>
    <w:link w:val="a3"/>
    <w:semiHidden/>
    <w:unhideWhenUsed/>
    <w:rsid w:val="007A20AF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styleId="a5">
    <w:name w:val="Body Text"/>
    <w:basedOn w:val="a"/>
    <w:link w:val="a6"/>
    <w:semiHidden/>
    <w:unhideWhenUsed/>
    <w:rsid w:val="007A20AF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9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A20AF"/>
    <w:rPr>
      <w:rFonts w:ascii="Times New Roman" w:eastAsia="Times New Roman" w:hAnsi="Times New Roman" w:cs="Times New Roman"/>
      <w:b/>
      <w:kern w:val="0"/>
      <w:sz w:val="9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A20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A20AF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Normal1">
    <w:name w:val="Normal1"/>
    <w:rsid w:val="00380A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Майстренко Любовь Алексеевна</dc:creator>
  <cp:keywords/>
  <dc:description/>
  <cp:lastModifiedBy>P22_SvetlakovaYS</cp:lastModifiedBy>
  <cp:revision>4</cp:revision>
  <dcterms:created xsi:type="dcterms:W3CDTF">2023-03-23T01:27:00Z</dcterms:created>
  <dcterms:modified xsi:type="dcterms:W3CDTF">2023-04-25T03:49:00Z</dcterms:modified>
</cp:coreProperties>
</file>